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6B" w:rsidRPr="00A54552" w:rsidRDefault="002D4B50" w:rsidP="006934A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 w:rsidRPr="00A54552">
        <w:rPr>
          <w:b/>
          <w:bCs/>
          <w:sz w:val="24"/>
          <w:szCs w:val="24"/>
        </w:rPr>
        <w:t>Are there funded applications we can use for reference?</w:t>
      </w:r>
    </w:p>
    <w:p w:rsidR="00A54552" w:rsidRPr="00A54552" w:rsidRDefault="00A54552" w:rsidP="006934A8">
      <w:pPr>
        <w:spacing w:after="0" w:line="24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>Unfortunately, we do not provide sample applications from previous years.</w:t>
      </w:r>
      <w:r w:rsidR="00C528E3">
        <w:rPr>
          <w:bCs/>
          <w:sz w:val="24"/>
          <w:szCs w:val="24"/>
        </w:rPr>
        <w:t xml:space="preserve">  However, you may check with colleagu</w:t>
      </w:r>
      <w:r w:rsidR="005F7C1B">
        <w:rPr>
          <w:bCs/>
          <w:sz w:val="24"/>
          <w:szCs w:val="24"/>
        </w:rPr>
        <w:t xml:space="preserve">es who have received the LRP.  You can also request to be connected to a LRP Ambassador via email to </w:t>
      </w:r>
      <w:hyperlink r:id="rId7" w:history="1">
        <w:r w:rsidR="005F7C1B" w:rsidRPr="00564BC8">
          <w:rPr>
            <w:rStyle w:val="Hyperlink"/>
            <w:bCs/>
            <w:sz w:val="24"/>
            <w:szCs w:val="24"/>
          </w:rPr>
          <w:t>lrp@nih.gov</w:t>
        </w:r>
      </w:hyperlink>
      <w:r w:rsidR="005F7C1B">
        <w:rPr>
          <w:bCs/>
          <w:sz w:val="24"/>
          <w:szCs w:val="24"/>
        </w:rPr>
        <w:t xml:space="preserve">. </w:t>
      </w:r>
    </w:p>
    <w:p w:rsidR="00921B6B" w:rsidRPr="00A54552" w:rsidRDefault="002D4B50" w:rsidP="006934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552">
        <w:rPr>
          <w:b/>
          <w:bCs/>
          <w:sz w:val="24"/>
          <w:szCs w:val="24"/>
        </w:rPr>
        <w:t>Who should I contact if I don’t know if I’m a mentored research scientist or an independent researcher?</w:t>
      </w:r>
    </w:p>
    <w:p w:rsidR="00A54552" w:rsidRPr="00A54552" w:rsidRDefault="00866859" w:rsidP="006934A8">
      <w:pPr>
        <w:spacing w:after="0" w:line="24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>Generally, N</w:t>
      </w:r>
      <w:r w:rsidR="00C528E3">
        <w:rPr>
          <w:bCs/>
          <w:sz w:val="24"/>
          <w:szCs w:val="24"/>
        </w:rPr>
        <w:t xml:space="preserve">IH </w:t>
      </w:r>
      <w:r>
        <w:rPr>
          <w:bCs/>
          <w:sz w:val="24"/>
          <w:szCs w:val="24"/>
        </w:rPr>
        <w:t xml:space="preserve">defines </w:t>
      </w:r>
      <w:r w:rsidR="006934A8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mentored</w:t>
      </w:r>
      <w:r w:rsidR="006934A8">
        <w:rPr>
          <w:bCs/>
          <w:sz w:val="24"/>
          <w:szCs w:val="24"/>
        </w:rPr>
        <w:t xml:space="preserve"> scientist (versus an independent scientist) as one that is </w:t>
      </w:r>
      <w:r w:rsidR="00C528E3">
        <w:rPr>
          <w:bCs/>
          <w:sz w:val="24"/>
          <w:szCs w:val="24"/>
        </w:rPr>
        <w:t>being funded by another investigator’s grant.   However, i</w:t>
      </w:r>
      <w:r w:rsidR="00A54552">
        <w:rPr>
          <w:bCs/>
          <w:sz w:val="24"/>
          <w:szCs w:val="24"/>
        </w:rPr>
        <w:t>t is best to cont</w:t>
      </w:r>
      <w:r w:rsidR="003648D0">
        <w:rPr>
          <w:bCs/>
          <w:sz w:val="24"/>
          <w:szCs w:val="24"/>
        </w:rPr>
        <w:t>act the Program Officer at the Institute/C</w:t>
      </w:r>
      <w:r w:rsidR="00A54552">
        <w:rPr>
          <w:bCs/>
          <w:sz w:val="24"/>
          <w:szCs w:val="24"/>
        </w:rPr>
        <w:t>enter that most closely aligns to your research for further guidance.</w:t>
      </w:r>
    </w:p>
    <w:p w:rsidR="00921B6B" w:rsidRPr="00A54552" w:rsidRDefault="002D4B50" w:rsidP="006934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552">
        <w:rPr>
          <w:b/>
          <w:bCs/>
          <w:sz w:val="24"/>
          <w:szCs w:val="24"/>
        </w:rPr>
        <w:t xml:space="preserve">Where can I get an </w:t>
      </w:r>
      <w:proofErr w:type="spellStart"/>
      <w:r w:rsidRPr="00A54552">
        <w:rPr>
          <w:b/>
          <w:bCs/>
          <w:sz w:val="24"/>
          <w:szCs w:val="24"/>
        </w:rPr>
        <w:t>eRA</w:t>
      </w:r>
      <w:proofErr w:type="spellEnd"/>
      <w:r w:rsidRPr="00A54552">
        <w:rPr>
          <w:b/>
          <w:bCs/>
          <w:sz w:val="24"/>
          <w:szCs w:val="24"/>
        </w:rPr>
        <w:t xml:space="preserve"> Commons ID?</w:t>
      </w:r>
    </w:p>
    <w:p w:rsidR="00A54552" w:rsidRDefault="006934A8" w:rsidP="006934A8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C528E3">
        <w:rPr>
          <w:bCs/>
          <w:sz w:val="24"/>
          <w:szCs w:val="24"/>
        </w:rPr>
        <w:t xml:space="preserve">ontact the </w:t>
      </w:r>
      <w:proofErr w:type="spellStart"/>
      <w:r w:rsidR="00C528E3">
        <w:rPr>
          <w:bCs/>
          <w:sz w:val="24"/>
          <w:szCs w:val="24"/>
        </w:rPr>
        <w:t>eRA</w:t>
      </w:r>
      <w:proofErr w:type="spellEnd"/>
      <w:r w:rsidR="00C528E3">
        <w:rPr>
          <w:bCs/>
          <w:sz w:val="24"/>
          <w:szCs w:val="24"/>
        </w:rPr>
        <w:t xml:space="preserve"> Service Desk at 1-866-504-955</w:t>
      </w:r>
      <w:r w:rsidR="002967CB">
        <w:rPr>
          <w:bCs/>
          <w:sz w:val="24"/>
          <w:szCs w:val="24"/>
        </w:rPr>
        <w:t>2</w:t>
      </w:r>
      <w:r w:rsidR="00C528E3">
        <w:rPr>
          <w:bCs/>
          <w:sz w:val="24"/>
          <w:szCs w:val="24"/>
        </w:rPr>
        <w:t>.  You can also check out their website for further information:</w:t>
      </w:r>
      <w:r>
        <w:rPr>
          <w:bCs/>
          <w:sz w:val="24"/>
          <w:szCs w:val="24"/>
        </w:rPr>
        <w:t xml:space="preserve"> </w:t>
      </w:r>
      <w:r w:rsidR="00A54552">
        <w:rPr>
          <w:bCs/>
          <w:sz w:val="24"/>
          <w:szCs w:val="24"/>
        </w:rPr>
        <w:t xml:space="preserve"> </w:t>
      </w:r>
      <w:hyperlink r:id="rId8" w:history="1">
        <w:r w:rsidR="00A54552" w:rsidRPr="000069F5">
          <w:rPr>
            <w:rStyle w:val="Hyperlink"/>
            <w:bCs/>
            <w:sz w:val="24"/>
            <w:szCs w:val="24"/>
          </w:rPr>
          <w:t>https://era.nih.gov/commons/faq_commons.cfm</w:t>
        </w:r>
      </w:hyperlink>
    </w:p>
    <w:p w:rsidR="00A54552" w:rsidRPr="00A54552" w:rsidRDefault="00A54552" w:rsidP="006934A8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Please also contact your Institutional Business Official for additional guidance.</w:t>
      </w:r>
    </w:p>
    <w:p w:rsidR="00921B6B" w:rsidRPr="00A54552" w:rsidRDefault="002D4B50" w:rsidP="006934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552">
        <w:rPr>
          <w:b/>
          <w:bCs/>
          <w:sz w:val="24"/>
          <w:szCs w:val="24"/>
        </w:rPr>
        <w:t>Which loans will the LRP repay?</w:t>
      </w:r>
    </w:p>
    <w:p w:rsidR="002967CB" w:rsidRDefault="00A54552" w:rsidP="006934A8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Educational loans that are in forbearance and deferment are eligible.  Loans that are paid in full and are currently delinquent or defaulted are ineligible.</w:t>
      </w:r>
      <w:r w:rsidR="002D4B50">
        <w:rPr>
          <w:bCs/>
          <w:sz w:val="24"/>
          <w:szCs w:val="24"/>
        </w:rPr>
        <w:t xml:space="preserve">  However, delinquen</w:t>
      </w:r>
      <w:r w:rsidR="006C389F">
        <w:rPr>
          <w:bCs/>
          <w:sz w:val="24"/>
          <w:szCs w:val="24"/>
        </w:rPr>
        <w:t>t or defaulted loans that have been</w:t>
      </w:r>
      <w:r w:rsidR="005F7C1B">
        <w:rPr>
          <w:bCs/>
          <w:sz w:val="24"/>
          <w:szCs w:val="24"/>
        </w:rPr>
        <w:t xml:space="preserve"> rehabilitated and are</w:t>
      </w:r>
      <w:r w:rsidR="005E083A">
        <w:rPr>
          <w:bCs/>
          <w:sz w:val="24"/>
          <w:szCs w:val="24"/>
        </w:rPr>
        <w:t xml:space="preserve"> in</w:t>
      </w:r>
      <w:r w:rsidR="002D4B50">
        <w:rPr>
          <w:bCs/>
          <w:sz w:val="24"/>
          <w:szCs w:val="24"/>
        </w:rPr>
        <w:t xml:space="preserve"> current</w:t>
      </w:r>
      <w:r w:rsidR="005E083A">
        <w:rPr>
          <w:bCs/>
          <w:sz w:val="24"/>
          <w:szCs w:val="24"/>
        </w:rPr>
        <w:t xml:space="preserve"> status</w:t>
      </w:r>
      <w:r w:rsidR="002D4B50">
        <w:rPr>
          <w:bCs/>
          <w:sz w:val="24"/>
          <w:szCs w:val="24"/>
        </w:rPr>
        <w:t xml:space="preserve"> are eligible.</w:t>
      </w:r>
      <w:r w:rsidR="002967CB">
        <w:rPr>
          <w:bCs/>
          <w:sz w:val="24"/>
          <w:szCs w:val="24"/>
        </w:rPr>
        <w:t xml:space="preserve">  The priority in which loans are paid is</w:t>
      </w:r>
    </w:p>
    <w:p w:rsidR="002967CB" w:rsidRPr="006934A8" w:rsidRDefault="00181550" w:rsidP="006934A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bCs/>
          <w:sz w:val="24"/>
          <w:szCs w:val="24"/>
        </w:rPr>
      </w:pPr>
      <w:r w:rsidRPr="006934A8">
        <w:rPr>
          <w:bCs/>
          <w:sz w:val="24"/>
          <w:szCs w:val="24"/>
        </w:rPr>
        <w:t>L</w:t>
      </w:r>
      <w:r w:rsidR="002967CB" w:rsidRPr="006934A8">
        <w:rPr>
          <w:bCs/>
          <w:sz w:val="24"/>
          <w:szCs w:val="24"/>
        </w:rPr>
        <w:t>oans guaranteed by the U.S. Department of Health and Human Services</w:t>
      </w:r>
    </w:p>
    <w:p w:rsidR="002967CB" w:rsidRPr="006934A8" w:rsidRDefault="00181550" w:rsidP="006934A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bCs/>
          <w:sz w:val="24"/>
          <w:szCs w:val="24"/>
        </w:rPr>
      </w:pPr>
      <w:r w:rsidRPr="006934A8">
        <w:rPr>
          <w:bCs/>
          <w:sz w:val="24"/>
          <w:szCs w:val="24"/>
        </w:rPr>
        <w:t>L</w:t>
      </w:r>
      <w:r w:rsidR="002967CB" w:rsidRPr="006934A8">
        <w:rPr>
          <w:bCs/>
          <w:sz w:val="24"/>
          <w:szCs w:val="24"/>
        </w:rPr>
        <w:t>oans guaranteed by the U.S. Department of Education</w:t>
      </w:r>
    </w:p>
    <w:p w:rsidR="002967CB" w:rsidRPr="006934A8" w:rsidRDefault="00181550" w:rsidP="006934A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bCs/>
          <w:sz w:val="24"/>
          <w:szCs w:val="24"/>
        </w:rPr>
      </w:pPr>
      <w:r w:rsidRPr="006934A8">
        <w:rPr>
          <w:bCs/>
          <w:sz w:val="24"/>
          <w:szCs w:val="24"/>
        </w:rPr>
        <w:t>L</w:t>
      </w:r>
      <w:r w:rsidR="002967CB" w:rsidRPr="006934A8">
        <w:rPr>
          <w:bCs/>
          <w:sz w:val="24"/>
          <w:szCs w:val="24"/>
        </w:rPr>
        <w:t>oans made or guaranteed by a state, the District of Columbia, the Commonwealth of Puerto Rico</w:t>
      </w:r>
      <w:r w:rsidRPr="006934A8">
        <w:rPr>
          <w:bCs/>
          <w:sz w:val="24"/>
          <w:szCs w:val="24"/>
        </w:rPr>
        <w:t>,</w:t>
      </w:r>
      <w:r w:rsidR="002967CB" w:rsidRPr="006934A8">
        <w:rPr>
          <w:bCs/>
          <w:sz w:val="24"/>
          <w:szCs w:val="24"/>
        </w:rPr>
        <w:t xml:space="preserve"> or a territory or possession of the U.S. </w:t>
      </w:r>
    </w:p>
    <w:p w:rsidR="002967CB" w:rsidRPr="006934A8" w:rsidRDefault="00181550" w:rsidP="006934A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bCs/>
          <w:sz w:val="24"/>
          <w:szCs w:val="24"/>
        </w:rPr>
      </w:pPr>
      <w:r w:rsidRPr="006934A8">
        <w:rPr>
          <w:bCs/>
          <w:sz w:val="24"/>
          <w:szCs w:val="24"/>
        </w:rPr>
        <w:t>L</w:t>
      </w:r>
      <w:r w:rsidR="002967CB" w:rsidRPr="006934A8">
        <w:rPr>
          <w:bCs/>
          <w:sz w:val="24"/>
          <w:szCs w:val="24"/>
        </w:rPr>
        <w:t>oans made by academic institutions</w:t>
      </w:r>
    </w:p>
    <w:p w:rsidR="00A54552" w:rsidRPr="006934A8" w:rsidRDefault="002967CB" w:rsidP="006934A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bCs/>
          <w:sz w:val="24"/>
          <w:szCs w:val="24"/>
        </w:rPr>
      </w:pPr>
      <w:r w:rsidRPr="006934A8">
        <w:rPr>
          <w:bCs/>
          <w:sz w:val="24"/>
          <w:szCs w:val="24"/>
        </w:rPr>
        <w:t>Private Educational Loans</w:t>
      </w:r>
    </w:p>
    <w:p w:rsidR="002967CB" w:rsidRDefault="002967CB" w:rsidP="006934A8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</w:t>
      </w:r>
      <w:r w:rsidR="006934A8">
        <w:rPr>
          <w:bCs/>
          <w:sz w:val="24"/>
          <w:szCs w:val="24"/>
        </w:rPr>
        <w:t>consult out website (</w:t>
      </w:r>
      <w:bookmarkStart w:id="0" w:name="_GoBack"/>
      <w:r w:rsidR="0060492E">
        <w:fldChar w:fldCharType="begin"/>
      </w:r>
      <w:r w:rsidR="0060492E">
        <w:instrText xml:space="preserve"> HYPERLINK "http://www.lrp.nih.gov" </w:instrText>
      </w:r>
      <w:r w:rsidR="0060492E">
        <w:fldChar w:fldCharType="separate"/>
      </w:r>
      <w:r w:rsidRPr="00564BC8">
        <w:rPr>
          <w:rStyle w:val="Hyperlink"/>
          <w:bCs/>
          <w:sz w:val="24"/>
          <w:szCs w:val="24"/>
        </w:rPr>
        <w:t>www.lrp.nih.gov</w:t>
      </w:r>
      <w:r w:rsidR="0060492E">
        <w:rPr>
          <w:rStyle w:val="Hyperlink"/>
          <w:bCs/>
          <w:sz w:val="24"/>
          <w:szCs w:val="24"/>
        </w:rPr>
        <w:fldChar w:fldCharType="end"/>
      </w:r>
      <w:bookmarkEnd w:id="0"/>
      <w:r w:rsidR="006934A8" w:rsidRPr="006934A8">
        <w:rPr>
          <w:rStyle w:val="Hyperlink"/>
          <w:bCs/>
          <w:color w:val="auto"/>
          <w:sz w:val="24"/>
          <w:szCs w:val="24"/>
          <w:u w:val="none"/>
        </w:rPr>
        <w:t>)</w:t>
      </w:r>
      <w:r w:rsidRPr="006934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for further information</w:t>
      </w:r>
      <w:r w:rsidR="00F97141">
        <w:rPr>
          <w:bCs/>
          <w:sz w:val="24"/>
          <w:szCs w:val="24"/>
        </w:rPr>
        <w:t>.</w:t>
      </w:r>
    </w:p>
    <w:p w:rsidR="00A54552" w:rsidRPr="00A54552" w:rsidRDefault="002D4B50" w:rsidP="006934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552">
        <w:rPr>
          <w:b/>
          <w:bCs/>
          <w:sz w:val="24"/>
          <w:szCs w:val="24"/>
        </w:rPr>
        <w:t>Do figures, graphs, legends, etc. count toward the character count?</w:t>
      </w:r>
    </w:p>
    <w:p w:rsidR="00921B6B" w:rsidRPr="00A54552" w:rsidRDefault="003648D0" w:rsidP="006934A8">
      <w:pPr>
        <w:spacing w:after="0" w:line="24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>Yes, everything you include in your document counts towards the character count.</w:t>
      </w:r>
      <w:r w:rsidR="002D4B50" w:rsidRPr="00A54552">
        <w:rPr>
          <w:b/>
          <w:bCs/>
          <w:sz w:val="24"/>
          <w:szCs w:val="24"/>
        </w:rPr>
        <w:t xml:space="preserve"> </w:t>
      </w:r>
    </w:p>
    <w:p w:rsidR="00921B6B" w:rsidRPr="003648D0" w:rsidRDefault="002D4B50" w:rsidP="006934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552">
        <w:rPr>
          <w:b/>
          <w:bCs/>
          <w:sz w:val="24"/>
          <w:szCs w:val="24"/>
        </w:rPr>
        <w:t>Do renewal applicants have to meet the 20% debt to income ratio?</w:t>
      </w:r>
    </w:p>
    <w:p w:rsidR="003648D0" w:rsidRPr="003648D0" w:rsidRDefault="003648D0" w:rsidP="006934A8">
      <w:pPr>
        <w:spacing w:after="0" w:line="24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 xml:space="preserve">No, this ratio only applies to </w:t>
      </w:r>
      <w:r w:rsidR="002D4B50">
        <w:rPr>
          <w:bCs/>
          <w:sz w:val="24"/>
          <w:szCs w:val="24"/>
        </w:rPr>
        <w:t xml:space="preserve">new </w:t>
      </w:r>
      <w:r>
        <w:rPr>
          <w:bCs/>
          <w:sz w:val="24"/>
          <w:szCs w:val="24"/>
        </w:rPr>
        <w:t>applicants.</w:t>
      </w:r>
    </w:p>
    <w:p w:rsidR="00921B6B" w:rsidRPr="003648D0" w:rsidRDefault="002D4B50" w:rsidP="006934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552">
        <w:rPr>
          <w:b/>
          <w:bCs/>
          <w:sz w:val="24"/>
          <w:szCs w:val="24"/>
        </w:rPr>
        <w:t>Who should I pick as my Institutional Business Official?</w:t>
      </w:r>
    </w:p>
    <w:p w:rsidR="003648D0" w:rsidRPr="003648D0" w:rsidRDefault="003648D0" w:rsidP="006934A8">
      <w:pPr>
        <w:spacing w:after="0" w:line="24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>This must be someone who can speak on behalf of the institution, provide your salary information, and certify that you will be engaging in at le</w:t>
      </w:r>
      <w:r w:rsidR="002D4B50">
        <w:rPr>
          <w:bCs/>
          <w:sz w:val="24"/>
          <w:szCs w:val="24"/>
        </w:rPr>
        <w:t xml:space="preserve">ast 20 hours of research a week.  </w:t>
      </w:r>
      <w:r w:rsidR="007A16A4">
        <w:rPr>
          <w:bCs/>
          <w:sz w:val="24"/>
          <w:szCs w:val="24"/>
        </w:rPr>
        <w:t>Common examples</w:t>
      </w:r>
      <w:r w:rsidR="002D4B50">
        <w:rPr>
          <w:bCs/>
          <w:sz w:val="24"/>
          <w:szCs w:val="24"/>
        </w:rPr>
        <w:t xml:space="preserve"> of Institutional Business Officials are Deans and administrative officials in HR.</w:t>
      </w:r>
    </w:p>
    <w:p w:rsidR="00921B6B" w:rsidRPr="003648D0" w:rsidRDefault="002D4B50" w:rsidP="006934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552">
        <w:rPr>
          <w:b/>
          <w:bCs/>
          <w:sz w:val="24"/>
          <w:szCs w:val="24"/>
        </w:rPr>
        <w:t>How many projects should I focus on in my Research Activities?</w:t>
      </w:r>
    </w:p>
    <w:p w:rsidR="002D4B50" w:rsidRPr="002D4B50" w:rsidRDefault="003648D0" w:rsidP="006934A8">
      <w:pPr>
        <w:spacing w:after="0" w:line="24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>Please contact the Program Officer listed as the Institute/Center that most closely aligns to your research for further guidance.</w:t>
      </w:r>
    </w:p>
    <w:p w:rsidR="00921B6B" w:rsidRPr="003648D0" w:rsidRDefault="002D4B50" w:rsidP="006934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552">
        <w:rPr>
          <w:b/>
          <w:bCs/>
          <w:sz w:val="24"/>
          <w:szCs w:val="24"/>
        </w:rPr>
        <w:t>What documents do my Mentor, Recommenders and Institutional Contact submit?</w:t>
      </w:r>
    </w:p>
    <w:p w:rsidR="003648D0" w:rsidRPr="006934A8" w:rsidRDefault="002D4B50" w:rsidP="006934A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6934A8">
        <w:rPr>
          <w:bCs/>
          <w:sz w:val="24"/>
          <w:szCs w:val="24"/>
        </w:rPr>
        <w:t xml:space="preserve">The </w:t>
      </w:r>
      <w:r w:rsidR="003648D0" w:rsidRPr="006934A8">
        <w:rPr>
          <w:bCs/>
          <w:sz w:val="24"/>
          <w:szCs w:val="24"/>
        </w:rPr>
        <w:t>Mentor</w:t>
      </w:r>
      <w:r w:rsidRPr="006934A8">
        <w:rPr>
          <w:bCs/>
          <w:sz w:val="24"/>
          <w:szCs w:val="24"/>
        </w:rPr>
        <w:t xml:space="preserve"> provides the Research Environment, Research Training and Mentoring Plan </w:t>
      </w:r>
      <w:proofErr w:type="spellStart"/>
      <w:r w:rsidR="003648D0" w:rsidRPr="006934A8">
        <w:rPr>
          <w:bCs/>
          <w:sz w:val="24"/>
          <w:szCs w:val="24"/>
        </w:rPr>
        <w:t>Biosketch</w:t>
      </w:r>
      <w:proofErr w:type="spellEnd"/>
      <w:r w:rsidRPr="006934A8">
        <w:rPr>
          <w:bCs/>
          <w:sz w:val="24"/>
          <w:szCs w:val="24"/>
        </w:rPr>
        <w:t>, and</w:t>
      </w:r>
      <w:r w:rsidR="007A16A4" w:rsidRPr="006934A8">
        <w:rPr>
          <w:bCs/>
          <w:sz w:val="24"/>
          <w:szCs w:val="24"/>
        </w:rPr>
        <w:t xml:space="preserve"> an</w:t>
      </w:r>
      <w:r w:rsidRPr="006934A8">
        <w:rPr>
          <w:bCs/>
          <w:sz w:val="24"/>
          <w:szCs w:val="24"/>
        </w:rPr>
        <w:t xml:space="preserve"> optional Secondary </w:t>
      </w:r>
      <w:proofErr w:type="spellStart"/>
      <w:r w:rsidRPr="006934A8">
        <w:rPr>
          <w:bCs/>
          <w:sz w:val="24"/>
          <w:szCs w:val="24"/>
        </w:rPr>
        <w:t>Biosketch</w:t>
      </w:r>
      <w:proofErr w:type="spellEnd"/>
      <w:r w:rsidRPr="006934A8">
        <w:rPr>
          <w:bCs/>
          <w:sz w:val="24"/>
          <w:szCs w:val="24"/>
        </w:rPr>
        <w:t>.</w:t>
      </w:r>
    </w:p>
    <w:p w:rsidR="002D4B50" w:rsidRPr="006934A8" w:rsidRDefault="002D4B50" w:rsidP="006934A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6934A8">
        <w:rPr>
          <w:bCs/>
          <w:sz w:val="24"/>
          <w:szCs w:val="24"/>
        </w:rPr>
        <w:t>The Recommenders and Institutional Business Official complete forms provided directly through their online portals.</w:t>
      </w:r>
    </w:p>
    <w:p w:rsidR="00921B6B" w:rsidRPr="002D4B50" w:rsidRDefault="002D4B50" w:rsidP="006934A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552">
        <w:rPr>
          <w:b/>
          <w:bCs/>
          <w:sz w:val="24"/>
          <w:szCs w:val="24"/>
        </w:rPr>
        <w:t>How many years of funded research must you have in order to be eligible?</w:t>
      </w:r>
    </w:p>
    <w:p w:rsidR="002D4B50" w:rsidRPr="002D4B50" w:rsidRDefault="002D4B50" w:rsidP="006934A8">
      <w:pPr>
        <w:spacing w:after="0" w:line="240" w:lineRule="auto"/>
        <w:ind w:left="360"/>
        <w:rPr>
          <w:sz w:val="24"/>
          <w:szCs w:val="24"/>
        </w:rPr>
      </w:pPr>
      <w:r>
        <w:rPr>
          <w:bCs/>
          <w:sz w:val="24"/>
          <w:szCs w:val="24"/>
        </w:rPr>
        <w:t>You must be able to commit at least 2 years of research, from the contract start date, to be eligible.  This year, the contract is from July 1, 2016 – June 30, 2018.</w:t>
      </w:r>
    </w:p>
    <w:p w:rsidR="00325D93" w:rsidRDefault="00325D93" w:rsidP="006934A8">
      <w:pPr>
        <w:spacing w:after="0" w:line="240" w:lineRule="auto"/>
      </w:pPr>
    </w:p>
    <w:sectPr w:rsidR="00325D93" w:rsidSect="006934A8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2E" w:rsidRDefault="0060492E" w:rsidP="006934A8">
      <w:pPr>
        <w:spacing w:after="0" w:line="240" w:lineRule="auto"/>
      </w:pPr>
      <w:r>
        <w:separator/>
      </w:r>
    </w:p>
  </w:endnote>
  <w:endnote w:type="continuationSeparator" w:id="0">
    <w:p w:rsidR="0060492E" w:rsidRDefault="0060492E" w:rsidP="0069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2E" w:rsidRDefault="0060492E" w:rsidP="006934A8">
      <w:pPr>
        <w:spacing w:after="0" w:line="240" w:lineRule="auto"/>
      </w:pPr>
      <w:r>
        <w:separator/>
      </w:r>
    </w:p>
  </w:footnote>
  <w:footnote w:type="continuationSeparator" w:id="0">
    <w:p w:rsidR="0060492E" w:rsidRDefault="0060492E" w:rsidP="0069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A8" w:rsidRPr="006934A8" w:rsidRDefault="006934A8" w:rsidP="006934A8">
    <w:pPr>
      <w:pStyle w:val="Header"/>
      <w:spacing w:after="120"/>
      <w:jc w:val="center"/>
      <w:rPr>
        <w:b/>
        <w:sz w:val="28"/>
        <w:szCs w:val="28"/>
      </w:rPr>
    </w:pPr>
    <w:r w:rsidRPr="006934A8">
      <w:rPr>
        <w:b/>
        <w:sz w:val="28"/>
        <w:szCs w:val="28"/>
      </w:rPr>
      <w:t>NIH LRP Application Technical Assistance Webinar Questions and Answers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23CC"/>
    <w:multiLevelType w:val="hybridMultilevel"/>
    <w:tmpl w:val="1982F31A"/>
    <w:lvl w:ilvl="0" w:tplc="E8C69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1241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6D8CF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AE22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E07D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B2CBE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4E01E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660E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0022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B1505C"/>
    <w:multiLevelType w:val="hybridMultilevel"/>
    <w:tmpl w:val="5C2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0BE5"/>
    <w:multiLevelType w:val="hybridMultilevel"/>
    <w:tmpl w:val="EB886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52"/>
    <w:rsid w:val="00181550"/>
    <w:rsid w:val="00294D0D"/>
    <w:rsid w:val="002967CB"/>
    <w:rsid w:val="002D4B50"/>
    <w:rsid w:val="00325D93"/>
    <w:rsid w:val="003648D0"/>
    <w:rsid w:val="005E083A"/>
    <w:rsid w:val="005F7C1B"/>
    <w:rsid w:val="0060492E"/>
    <w:rsid w:val="006934A8"/>
    <w:rsid w:val="006C389F"/>
    <w:rsid w:val="007A16A4"/>
    <w:rsid w:val="00866859"/>
    <w:rsid w:val="00921B6B"/>
    <w:rsid w:val="00A54552"/>
    <w:rsid w:val="00BF285A"/>
    <w:rsid w:val="00C35DA0"/>
    <w:rsid w:val="00C528E3"/>
    <w:rsid w:val="00C65213"/>
    <w:rsid w:val="00D82599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7D908-27D8-4CCB-A12B-C76DE138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5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8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3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A8"/>
  </w:style>
  <w:style w:type="paragraph" w:styleId="Footer">
    <w:name w:val="footer"/>
    <w:basedOn w:val="Normal"/>
    <w:link w:val="FooterChar"/>
    <w:uiPriority w:val="99"/>
    <w:unhideWhenUsed/>
    <w:rsid w:val="0069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6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7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7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5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0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2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8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.nih.gov/commons/faq_commons.c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p@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Webinar Questions and Answers</vt:lpstr>
    </vt:vector>
  </TitlesOfParts>
  <Company>NIH\OD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Questions and Answers</dc:title>
  <dc:subject>Webinar Questions and Answers</dc:subject>
  <dc:creator>Mir, Sanah (NIH/OD) [C]</dc:creator>
  <cp:keywords>Webinar,Questions, Answers</cp:keywords>
  <dc:description>This document contain Webinar Questions and Answers </dc:description>
  <cp:lastModifiedBy>Rod</cp:lastModifiedBy>
  <cp:revision>3</cp:revision>
  <dcterms:created xsi:type="dcterms:W3CDTF">2015-11-02T19:20:00Z</dcterms:created>
  <dcterms:modified xsi:type="dcterms:W3CDTF">2015-11-05T21:40:00Z</dcterms:modified>
  <cp:category>Webinar Questions and Answers</cp:category>
</cp:coreProperties>
</file>